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BEDEA" w14:textId="4B31D28E" w:rsidR="00DC7DB8" w:rsidRDefault="00DC7DB8" w:rsidP="2A6A326C">
      <w:pPr>
        <w:pStyle w:val="Heading1"/>
        <w:rPr>
          <w:rFonts w:ascii="Aptos" w:eastAsia="Aptos" w:hAnsi="Aptos" w:cs="Aptos"/>
          <w:color w:val="auto"/>
        </w:rPr>
      </w:pPr>
      <w:r w:rsidRPr="2A6A326C">
        <w:rPr>
          <w:rFonts w:ascii="Aptos" w:eastAsia="Aptos" w:hAnsi="Aptos" w:cs="Aptos"/>
          <w:color w:val="auto"/>
        </w:rPr>
        <w:t>Supporting Indigenous Apprentices</w:t>
      </w:r>
    </w:p>
    <w:p w14:paraId="497C7A9D" w14:textId="77777777" w:rsidR="00DE45E2" w:rsidRDefault="00DC7DB8" w:rsidP="69D7B9BA">
      <w:pPr>
        <w:pStyle w:val="Heading2"/>
        <w:rPr>
          <w:rFonts w:ascii="Aptos" w:eastAsia="Aptos" w:hAnsi="Aptos" w:cs="Aptos"/>
          <w:color w:val="auto"/>
          <w:sz w:val="28"/>
          <w:szCs w:val="28"/>
        </w:rPr>
      </w:pPr>
      <w:r w:rsidRPr="6EBBA060">
        <w:rPr>
          <w:rFonts w:ascii="Aptos" w:eastAsia="Aptos" w:hAnsi="Aptos" w:cs="Aptos"/>
          <w:color w:val="auto"/>
          <w:sz w:val="28"/>
          <w:szCs w:val="28"/>
        </w:rPr>
        <w:t>Purpose</w:t>
      </w:r>
    </w:p>
    <w:p w14:paraId="73872DD6" w14:textId="1091646F" w:rsidR="69D7B9BA" w:rsidRDefault="00DC7DB8" w:rsidP="69D7B9BA">
      <w:pPr>
        <w:rPr>
          <w:rFonts w:ascii="Aptos" w:eastAsia="Aptos" w:hAnsi="Aptos" w:cs="Aptos"/>
          <w:sz w:val="24"/>
          <w:szCs w:val="24"/>
        </w:rPr>
      </w:pPr>
      <w:r w:rsidRPr="2A6A326C">
        <w:rPr>
          <w:rFonts w:ascii="Aptos" w:eastAsia="Aptos" w:hAnsi="Aptos" w:cs="Aptos"/>
          <w:sz w:val="24"/>
          <w:szCs w:val="24"/>
        </w:rPr>
        <w:t xml:space="preserve">Creating culturally safe and respectful workplaces helps Indigenous apprentices feel valued, supported, and connected </w:t>
      </w:r>
      <w:r w:rsidR="7573D834" w:rsidRPr="2A6A326C">
        <w:rPr>
          <w:rFonts w:ascii="Aptos" w:eastAsia="Aptos" w:hAnsi="Aptos" w:cs="Aptos"/>
          <w:sz w:val="24"/>
          <w:szCs w:val="24"/>
        </w:rPr>
        <w:t>-</w:t>
      </w:r>
      <w:r w:rsidRPr="2A6A326C">
        <w:rPr>
          <w:rFonts w:ascii="Aptos" w:eastAsia="Aptos" w:hAnsi="Aptos" w:cs="Aptos"/>
          <w:sz w:val="24"/>
          <w:szCs w:val="24"/>
        </w:rPr>
        <w:t xml:space="preserve"> which increases confidence, participation, and retention. Employers who show understanding and flexibility towards cultural obligations help apprentices stay engaged and proud of their work.</w:t>
      </w:r>
    </w:p>
    <w:p w14:paraId="7D8420C2" w14:textId="77777777" w:rsidR="00DE45E2" w:rsidRDefault="00DC7DB8" w:rsidP="2A6A326C">
      <w:pPr>
        <w:pStyle w:val="Heading2"/>
        <w:rPr>
          <w:rFonts w:ascii="Aptos" w:eastAsia="Aptos" w:hAnsi="Aptos" w:cs="Aptos"/>
          <w:color w:val="auto"/>
          <w:sz w:val="28"/>
          <w:szCs w:val="28"/>
        </w:rPr>
      </w:pPr>
      <w:r w:rsidRPr="2A6A326C">
        <w:rPr>
          <w:rFonts w:ascii="Aptos" w:eastAsia="Aptos" w:hAnsi="Aptos" w:cs="Aptos"/>
          <w:color w:val="auto"/>
          <w:sz w:val="28"/>
          <w:szCs w:val="28"/>
        </w:rPr>
        <w:t>Understanding Cultural Safety</w:t>
      </w:r>
    </w:p>
    <w:p w14:paraId="50E9AA5C" w14:textId="77777777" w:rsidR="00DE45E2" w:rsidRDefault="00DC7DB8" w:rsidP="69D7B9BA">
      <w:pPr>
        <w:rPr>
          <w:rFonts w:ascii="Aptos" w:eastAsia="Aptos" w:hAnsi="Aptos" w:cs="Aptos"/>
          <w:sz w:val="24"/>
          <w:szCs w:val="24"/>
        </w:rPr>
      </w:pPr>
      <w:r w:rsidRPr="6EBBA060">
        <w:rPr>
          <w:rFonts w:ascii="Aptos" w:eastAsia="Aptos" w:hAnsi="Aptos" w:cs="Aptos"/>
          <w:sz w:val="24"/>
          <w:szCs w:val="24"/>
        </w:rPr>
        <w:t>Cultural safety means recognising and respecting Aboriginal and Torres Strait Islander peoples’ values, beliefs, and ways of doing things. It’s about creating a space where apprentices feel safe to be themselves without fear of discrimination or misunderstanding.</w:t>
      </w:r>
    </w:p>
    <w:p w14:paraId="2F397D3D" w14:textId="77777777" w:rsidR="00DE45E2" w:rsidRDefault="00DC7DB8" w:rsidP="69D7B9BA">
      <w:pPr>
        <w:rPr>
          <w:rFonts w:ascii="Aptos" w:eastAsia="Aptos" w:hAnsi="Aptos" w:cs="Aptos"/>
          <w:sz w:val="24"/>
          <w:szCs w:val="24"/>
        </w:rPr>
      </w:pPr>
      <w:r w:rsidRPr="6EBBA060">
        <w:rPr>
          <w:rFonts w:ascii="Aptos" w:eastAsia="Aptos" w:hAnsi="Aptos" w:cs="Aptos"/>
          <w:sz w:val="24"/>
          <w:szCs w:val="24"/>
        </w:rPr>
        <w:t>Key actions to build cultural safety:</w:t>
      </w:r>
    </w:p>
    <w:p w14:paraId="2D09D1A5" w14:textId="3D5A8400" w:rsidR="00DC7DB8" w:rsidRDefault="00DC7DB8" w:rsidP="2A6A326C">
      <w:pPr>
        <w:pStyle w:val="ListParagraph"/>
        <w:numPr>
          <w:ilvl w:val="0"/>
          <w:numId w:val="4"/>
        </w:numPr>
        <w:rPr>
          <w:rFonts w:ascii="Aptos" w:eastAsia="Aptos" w:hAnsi="Aptos" w:cs="Aptos"/>
          <w:sz w:val="24"/>
          <w:szCs w:val="24"/>
        </w:rPr>
      </w:pPr>
      <w:r w:rsidRPr="2A6A326C">
        <w:rPr>
          <w:rFonts w:ascii="Aptos" w:eastAsia="Aptos" w:hAnsi="Aptos" w:cs="Aptos"/>
          <w:sz w:val="24"/>
          <w:szCs w:val="24"/>
        </w:rPr>
        <w:t xml:space="preserve">Acknowledge and respect Country and </w:t>
      </w:r>
      <w:r w:rsidR="6892AFCD" w:rsidRPr="2A6A326C">
        <w:rPr>
          <w:rFonts w:ascii="Aptos" w:eastAsia="Aptos" w:hAnsi="Aptos" w:cs="Aptos"/>
          <w:sz w:val="24"/>
          <w:szCs w:val="24"/>
        </w:rPr>
        <w:t>Culture</w:t>
      </w:r>
      <w:r w:rsidRPr="2A6A326C">
        <w:rPr>
          <w:rFonts w:ascii="Aptos" w:eastAsia="Aptos" w:hAnsi="Aptos" w:cs="Aptos"/>
          <w:sz w:val="24"/>
          <w:szCs w:val="24"/>
        </w:rPr>
        <w:t xml:space="preserve"> in your workplace.</w:t>
      </w:r>
    </w:p>
    <w:p w14:paraId="100652B0" w14:textId="6079E3DE" w:rsidR="00DC7DB8" w:rsidRDefault="00DC7DB8" w:rsidP="2A6A326C">
      <w:pPr>
        <w:pStyle w:val="ListParagraph"/>
        <w:numPr>
          <w:ilvl w:val="0"/>
          <w:numId w:val="4"/>
        </w:numPr>
        <w:rPr>
          <w:rFonts w:ascii="Aptos" w:eastAsia="Aptos" w:hAnsi="Aptos" w:cs="Aptos"/>
          <w:sz w:val="24"/>
          <w:szCs w:val="24"/>
        </w:rPr>
      </w:pPr>
      <w:r w:rsidRPr="2A6A326C">
        <w:rPr>
          <w:rFonts w:ascii="Aptos" w:eastAsia="Aptos" w:hAnsi="Aptos" w:cs="Aptos"/>
          <w:sz w:val="24"/>
          <w:szCs w:val="24"/>
        </w:rPr>
        <w:t xml:space="preserve"> Use preferred names and pronunciation correctly.</w:t>
      </w:r>
    </w:p>
    <w:p w14:paraId="29A56E7B" w14:textId="1A201A6F" w:rsidR="00DC7DB8" w:rsidRDefault="00DC7DB8" w:rsidP="2A6A326C">
      <w:pPr>
        <w:pStyle w:val="ListParagraph"/>
        <w:numPr>
          <w:ilvl w:val="0"/>
          <w:numId w:val="4"/>
        </w:numPr>
        <w:rPr>
          <w:rFonts w:ascii="Aptos" w:eastAsia="Aptos" w:hAnsi="Aptos" w:cs="Aptos"/>
          <w:sz w:val="24"/>
          <w:szCs w:val="24"/>
        </w:rPr>
      </w:pPr>
      <w:r w:rsidRPr="2A6A326C">
        <w:rPr>
          <w:rFonts w:ascii="Aptos" w:eastAsia="Aptos" w:hAnsi="Aptos" w:cs="Aptos"/>
          <w:sz w:val="24"/>
          <w:szCs w:val="24"/>
        </w:rPr>
        <w:t xml:space="preserve">Avoid assumptions about background or capability </w:t>
      </w:r>
      <w:r w:rsidR="61A45C8B" w:rsidRPr="2A6A326C">
        <w:rPr>
          <w:rFonts w:ascii="Aptos" w:eastAsia="Aptos" w:hAnsi="Aptos" w:cs="Aptos"/>
          <w:sz w:val="24"/>
          <w:szCs w:val="24"/>
        </w:rPr>
        <w:t>-</w:t>
      </w:r>
      <w:r w:rsidRPr="2A6A326C">
        <w:rPr>
          <w:rFonts w:ascii="Aptos" w:eastAsia="Aptos" w:hAnsi="Aptos" w:cs="Aptos"/>
          <w:sz w:val="24"/>
          <w:szCs w:val="24"/>
        </w:rPr>
        <w:t xml:space="preserve"> focus on individual strengths.</w:t>
      </w:r>
    </w:p>
    <w:p w14:paraId="5BCFFE6C" w14:textId="5C9FC020" w:rsidR="00DC7DB8" w:rsidRDefault="00DC7DB8" w:rsidP="2A6A326C">
      <w:pPr>
        <w:pStyle w:val="ListParagraph"/>
        <w:numPr>
          <w:ilvl w:val="0"/>
          <w:numId w:val="4"/>
        </w:numPr>
        <w:rPr>
          <w:rFonts w:ascii="Aptos" w:eastAsia="Aptos" w:hAnsi="Aptos" w:cs="Aptos"/>
          <w:sz w:val="24"/>
          <w:szCs w:val="24"/>
        </w:rPr>
      </w:pPr>
      <w:r w:rsidRPr="2A6A326C">
        <w:rPr>
          <w:rFonts w:ascii="Aptos" w:eastAsia="Aptos" w:hAnsi="Aptos" w:cs="Aptos"/>
          <w:sz w:val="24"/>
          <w:szCs w:val="24"/>
        </w:rPr>
        <w:t>Ensure team members use respectful and inclusive language.</w:t>
      </w:r>
    </w:p>
    <w:p w14:paraId="7DA8E27D" w14:textId="77777777" w:rsidR="00DE45E2" w:rsidRDefault="00DC7DB8" w:rsidP="2A6A326C">
      <w:pPr>
        <w:pStyle w:val="Heading2"/>
        <w:rPr>
          <w:rFonts w:ascii="Aptos" w:eastAsia="Aptos" w:hAnsi="Aptos" w:cs="Aptos"/>
          <w:color w:val="auto"/>
          <w:sz w:val="28"/>
          <w:szCs w:val="28"/>
        </w:rPr>
      </w:pPr>
      <w:r w:rsidRPr="2A6A326C">
        <w:rPr>
          <w:rFonts w:ascii="Aptos" w:eastAsia="Aptos" w:hAnsi="Aptos" w:cs="Aptos"/>
          <w:color w:val="auto"/>
          <w:sz w:val="28"/>
          <w:szCs w:val="28"/>
        </w:rPr>
        <w:t>Building Trust and Belonging</w:t>
      </w:r>
    </w:p>
    <w:p w14:paraId="5305CECB" w14:textId="77777777" w:rsidR="00DE45E2" w:rsidRDefault="00DC7DB8" w:rsidP="69D7B9BA">
      <w:pPr>
        <w:rPr>
          <w:rFonts w:ascii="Aptos" w:eastAsia="Aptos" w:hAnsi="Aptos" w:cs="Aptos"/>
          <w:sz w:val="24"/>
          <w:szCs w:val="24"/>
        </w:rPr>
      </w:pPr>
      <w:r w:rsidRPr="2A6A326C">
        <w:rPr>
          <w:rFonts w:ascii="Aptos" w:eastAsia="Aptos" w:hAnsi="Aptos" w:cs="Aptos"/>
          <w:sz w:val="24"/>
          <w:szCs w:val="24"/>
        </w:rPr>
        <w:t>Trust develops through consistency, fairness, and communication. Apprentices thrive in environments where they feel respected and part of the team.</w:t>
      </w:r>
    </w:p>
    <w:p w14:paraId="6A9FB2CB" w14:textId="779482E2" w:rsidR="00DE45E2" w:rsidRDefault="00DC7DB8" w:rsidP="2A6A326C">
      <w:pPr>
        <w:pStyle w:val="ListParagraph"/>
        <w:numPr>
          <w:ilvl w:val="0"/>
          <w:numId w:val="3"/>
        </w:numPr>
        <w:rPr>
          <w:rFonts w:ascii="Aptos" w:eastAsia="Aptos" w:hAnsi="Aptos" w:cs="Aptos"/>
          <w:sz w:val="24"/>
          <w:szCs w:val="24"/>
        </w:rPr>
      </w:pPr>
      <w:r w:rsidRPr="2A6A326C">
        <w:rPr>
          <w:rFonts w:ascii="Aptos" w:eastAsia="Aptos" w:hAnsi="Aptos" w:cs="Aptos"/>
          <w:sz w:val="24"/>
          <w:szCs w:val="24"/>
        </w:rPr>
        <w:t>Pair the apprentice with a supportive supervisor or mentor who demonstrates patience and understanding.</w:t>
      </w:r>
    </w:p>
    <w:p w14:paraId="736182D3" w14:textId="2C7179C9" w:rsidR="00DE45E2" w:rsidRDefault="00DC7DB8" w:rsidP="2A6A326C">
      <w:pPr>
        <w:pStyle w:val="ListParagraph"/>
        <w:numPr>
          <w:ilvl w:val="0"/>
          <w:numId w:val="3"/>
        </w:numPr>
        <w:rPr>
          <w:rFonts w:ascii="Aptos" w:eastAsia="Aptos" w:hAnsi="Aptos" w:cs="Aptos"/>
          <w:sz w:val="24"/>
          <w:szCs w:val="24"/>
        </w:rPr>
      </w:pPr>
      <w:r w:rsidRPr="2A6A326C">
        <w:rPr>
          <w:rFonts w:ascii="Aptos" w:eastAsia="Aptos" w:hAnsi="Aptos" w:cs="Aptos"/>
          <w:sz w:val="24"/>
          <w:szCs w:val="24"/>
        </w:rPr>
        <w:t xml:space="preserve">Take time to listen </w:t>
      </w:r>
      <w:r w:rsidR="18570F2F" w:rsidRPr="2A6A326C">
        <w:rPr>
          <w:rFonts w:ascii="Aptos" w:eastAsia="Aptos" w:hAnsi="Aptos" w:cs="Aptos"/>
          <w:sz w:val="24"/>
          <w:szCs w:val="24"/>
        </w:rPr>
        <w:t>-</w:t>
      </w:r>
      <w:r w:rsidRPr="2A6A326C">
        <w:rPr>
          <w:rFonts w:ascii="Aptos" w:eastAsia="Aptos" w:hAnsi="Aptos" w:cs="Aptos"/>
          <w:sz w:val="24"/>
          <w:szCs w:val="24"/>
        </w:rPr>
        <w:t xml:space="preserve"> relationships matter.</w:t>
      </w:r>
    </w:p>
    <w:p w14:paraId="19ECD1F7" w14:textId="78D44AD8" w:rsidR="00DE45E2" w:rsidRDefault="00DC7DB8" w:rsidP="2A6A326C">
      <w:pPr>
        <w:pStyle w:val="ListParagraph"/>
        <w:numPr>
          <w:ilvl w:val="0"/>
          <w:numId w:val="3"/>
        </w:numPr>
        <w:rPr>
          <w:rFonts w:ascii="Aptos" w:eastAsia="Aptos" w:hAnsi="Aptos" w:cs="Aptos"/>
          <w:sz w:val="24"/>
          <w:szCs w:val="24"/>
        </w:rPr>
      </w:pPr>
      <w:r w:rsidRPr="2A6A326C">
        <w:rPr>
          <w:rFonts w:ascii="Aptos" w:eastAsia="Aptos" w:hAnsi="Aptos" w:cs="Aptos"/>
          <w:sz w:val="24"/>
          <w:szCs w:val="24"/>
        </w:rPr>
        <w:t xml:space="preserve">Include the apprentice in toolbox talks and team </w:t>
      </w:r>
      <w:r w:rsidR="14E37226" w:rsidRPr="2A6A326C">
        <w:rPr>
          <w:rFonts w:ascii="Aptos" w:eastAsia="Aptos" w:hAnsi="Aptos" w:cs="Aptos"/>
          <w:sz w:val="24"/>
          <w:szCs w:val="24"/>
        </w:rPr>
        <w:t>decisions,</w:t>
      </w:r>
      <w:r w:rsidRPr="2A6A326C">
        <w:rPr>
          <w:rFonts w:ascii="Aptos" w:eastAsia="Aptos" w:hAnsi="Aptos" w:cs="Aptos"/>
          <w:sz w:val="24"/>
          <w:szCs w:val="24"/>
        </w:rPr>
        <w:t xml:space="preserve"> so they feel part of the crew.</w:t>
      </w:r>
    </w:p>
    <w:p w14:paraId="20DB257A" w14:textId="4E30F33B" w:rsidR="00DE45E2" w:rsidRDefault="00DC7DB8" w:rsidP="2A6A326C">
      <w:pPr>
        <w:pStyle w:val="ListParagraph"/>
        <w:numPr>
          <w:ilvl w:val="0"/>
          <w:numId w:val="3"/>
        </w:numPr>
        <w:rPr>
          <w:rFonts w:ascii="Aptos" w:eastAsia="Aptos" w:hAnsi="Aptos" w:cs="Aptos"/>
          <w:sz w:val="24"/>
          <w:szCs w:val="24"/>
        </w:rPr>
      </w:pPr>
      <w:r w:rsidRPr="2A6A326C">
        <w:rPr>
          <w:rFonts w:ascii="Aptos" w:eastAsia="Aptos" w:hAnsi="Aptos" w:cs="Aptos"/>
          <w:sz w:val="24"/>
          <w:szCs w:val="24"/>
        </w:rPr>
        <w:t>Celebrate milestones and cultural events like NAIDOC Week to recognise contribution and heritage.</w:t>
      </w:r>
    </w:p>
    <w:p w14:paraId="12398A19" w14:textId="77777777" w:rsidR="00DE45E2" w:rsidRDefault="00DC7DB8" w:rsidP="6EBBA060">
      <w:pPr>
        <w:pStyle w:val="Heading2"/>
        <w:rPr>
          <w:rFonts w:ascii="Aptos" w:eastAsia="Aptos" w:hAnsi="Aptos" w:cs="Aptos"/>
          <w:color w:val="auto"/>
          <w:sz w:val="24"/>
          <w:szCs w:val="24"/>
        </w:rPr>
      </w:pPr>
      <w:r w:rsidRPr="6EBBA060">
        <w:rPr>
          <w:rFonts w:ascii="Aptos" w:eastAsia="Aptos" w:hAnsi="Aptos" w:cs="Aptos"/>
          <w:color w:val="auto"/>
          <w:sz w:val="24"/>
          <w:szCs w:val="24"/>
        </w:rPr>
        <w:t>Respecting Cultural and Community Commitments</w:t>
      </w:r>
    </w:p>
    <w:p w14:paraId="44738D37" w14:textId="77777777" w:rsidR="00DE45E2" w:rsidRDefault="00DC7DB8" w:rsidP="69D7B9BA">
      <w:pPr>
        <w:rPr>
          <w:rFonts w:ascii="Aptos" w:eastAsia="Aptos" w:hAnsi="Aptos" w:cs="Aptos"/>
          <w:sz w:val="24"/>
          <w:szCs w:val="24"/>
        </w:rPr>
      </w:pPr>
      <w:r w:rsidRPr="2A6A326C">
        <w:rPr>
          <w:rFonts w:ascii="Aptos" w:eastAsia="Aptos" w:hAnsi="Aptos" w:cs="Aptos"/>
          <w:sz w:val="24"/>
          <w:szCs w:val="24"/>
        </w:rPr>
        <w:t xml:space="preserve">Indigenous apprentices may have cultural responsibilities such as Sorry Business, community events, or family obligations. Employers who respect and </w:t>
      </w:r>
      <w:bookmarkStart w:id="0" w:name="_Int_JU9QWOML"/>
      <w:r w:rsidRPr="2A6A326C">
        <w:rPr>
          <w:rFonts w:ascii="Aptos" w:eastAsia="Aptos" w:hAnsi="Aptos" w:cs="Aptos"/>
          <w:sz w:val="24"/>
          <w:szCs w:val="24"/>
        </w:rPr>
        <w:t>plan around</w:t>
      </w:r>
      <w:bookmarkEnd w:id="0"/>
      <w:r w:rsidRPr="2A6A326C">
        <w:rPr>
          <w:rFonts w:ascii="Aptos" w:eastAsia="Aptos" w:hAnsi="Aptos" w:cs="Aptos"/>
          <w:sz w:val="24"/>
          <w:szCs w:val="24"/>
        </w:rPr>
        <w:t xml:space="preserve"> these commitments help apprentices stay engaged and motivated.</w:t>
      </w:r>
    </w:p>
    <w:p w14:paraId="6DBC37ED" w14:textId="581B9FF0" w:rsidR="69D7B9BA" w:rsidRDefault="00DC7DB8" w:rsidP="2A6A326C">
      <w:pPr>
        <w:pStyle w:val="ListParagraph"/>
        <w:numPr>
          <w:ilvl w:val="0"/>
          <w:numId w:val="2"/>
        </w:numPr>
        <w:rPr>
          <w:rFonts w:ascii="Aptos" w:eastAsia="Aptos" w:hAnsi="Aptos" w:cs="Aptos"/>
          <w:sz w:val="24"/>
          <w:szCs w:val="24"/>
        </w:rPr>
      </w:pPr>
      <w:r w:rsidRPr="2A6A326C">
        <w:rPr>
          <w:rFonts w:ascii="Aptos" w:eastAsia="Aptos" w:hAnsi="Aptos" w:cs="Aptos"/>
          <w:sz w:val="24"/>
          <w:szCs w:val="24"/>
        </w:rPr>
        <w:lastRenderedPageBreak/>
        <w:t>Discuss these commitments early and plan flexibility into rosters or deadlines.</w:t>
      </w:r>
    </w:p>
    <w:p w14:paraId="0D7D195E" w14:textId="4B3C7504" w:rsidR="69D7B9BA" w:rsidRDefault="00DC7DB8" w:rsidP="2A6A326C">
      <w:pPr>
        <w:pStyle w:val="ListParagraph"/>
        <w:numPr>
          <w:ilvl w:val="0"/>
          <w:numId w:val="2"/>
        </w:numPr>
        <w:rPr>
          <w:rFonts w:ascii="Aptos" w:eastAsia="Aptos" w:hAnsi="Aptos" w:cs="Aptos"/>
          <w:sz w:val="24"/>
          <w:szCs w:val="24"/>
        </w:rPr>
      </w:pPr>
      <w:r w:rsidRPr="2A6A326C">
        <w:rPr>
          <w:rFonts w:ascii="Aptos" w:eastAsia="Aptos" w:hAnsi="Aptos" w:cs="Aptos"/>
          <w:sz w:val="24"/>
          <w:szCs w:val="24"/>
        </w:rPr>
        <w:t xml:space="preserve">Maintain open communication </w:t>
      </w:r>
      <w:r w:rsidR="2ECFF2FD" w:rsidRPr="2A6A326C">
        <w:rPr>
          <w:rFonts w:ascii="Aptos" w:eastAsia="Aptos" w:hAnsi="Aptos" w:cs="Aptos"/>
          <w:sz w:val="24"/>
          <w:szCs w:val="24"/>
        </w:rPr>
        <w:t>-</w:t>
      </w:r>
      <w:r w:rsidRPr="2A6A326C">
        <w:rPr>
          <w:rFonts w:ascii="Aptos" w:eastAsia="Aptos" w:hAnsi="Aptos" w:cs="Aptos"/>
          <w:sz w:val="24"/>
          <w:szCs w:val="24"/>
        </w:rPr>
        <w:t xml:space="preserve"> it shows respect and strengthens trust.</w:t>
      </w:r>
    </w:p>
    <w:p w14:paraId="2CE20FEE" w14:textId="4F946BE3" w:rsidR="69D7B9BA" w:rsidRDefault="00DC7DB8" w:rsidP="2A6A326C">
      <w:pPr>
        <w:pStyle w:val="ListParagraph"/>
        <w:numPr>
          <w:ilvl w:val="0"/>
          <w:numId w:val="2"/>
        </w:numPr>
        <w:rPr>
          <w:rFonts w:ascii="Aptos" w:eastAsia="Aptos" w:hAnsi="Aptos" w:cs="Aptos"/>
          <w:sz w:val="24"/>
          <w:szCs w:val="24"/>
        </w:rPr>
      </w:pPr>
      <w:r w:rsidRPr="2A6A326C">
        <w:rPr>
          <w:rFonts w:ascii="Aptos" w:eastAsia="Aptos" w:hAnsi="Aptos" w:cs="Aptos"/>
          <w:sz w:val="24"/>
          <w:szCs w:val="24"/>
        </w:rPr>
        <w:t>Document arrangements where possible so expectations are clear on both sides.</w:t>
      </w:r>
    </w:p>
    <w:p w14:paraId="53FE3ADE" w14:textId="77777777" w:rsidR="00DE45E2" w:rsidRDefault="00DC7DB8" w:rsidP="6EBBA060">
      <w:pPr>
        <w:pStyle w:val="Heading2"/>
        <w:rPr>
          <w:rFonts w:ascii="Aptos" w:eastAsia="Aptos" w:hAnsi="Aptos" w:cs="Aptos"/>
          <w:color w:val="auto"/>
          <w:sz w:val="24"/>
          <w:szCs w:val="24"/>
        </w:rPr>
      </w:pPr>
      <w:r w:rsidRPr="6EBBA060">
        <w:rPr>
          <w:rFonts w:ascii="Aptos" w:eastAsia="Aptos" w:hAnsi="Aptos" w:cs="Aptos"/>
          <w:color w:val="auto"/>
          <w:sz w:val="24"/>
          <w:szCs w:val="24"/>
        </w:rPr>
        <w:t>Mentoring and Role Models</w:t>
      </w:r>
    </w:p>
    <w:p w14:paraId="5B252685" w14:textId="4B3F8F65" w:rsidR="00DE45E2" w:rsidRDefault="00DC7DB8" w:rsidP="69D7B9BA">
      <w:pPr>
        <w:rPr>
          <w:rFonts w:ascii="Aptos" w:eastAsia="Aptos" w:hAnsi="Aptos" w:cs="Aptos"/>
          <w:sz w:val="24"/>
          <w:szCs w:val="24"/>
        </w:rPr>
      </w:pPr>
      <w:r w:rsidRPr="2A6A326C">
        <w:rPr>
          <w:rFonts w:ascii="Aptos" w:eastAsia="Aptos" w:hAnsi="Aptos" w:cs="Aptos"/>
          <w:sz w:val="24"/>
          <w:szCs w:val="24"/>
        </w:rPr>
        <w:t>Where possible, connect Indigenous apprentices with Indigenous mentors or cultural support officers through your ACAP provider. Peer mentoring or having other Indigenous tradespeople visit the workplace can strengthen identity and confidence.</w:t>
      </w:r>
    </w:p>
    <w:p w14:paraId="30098B6A" w14:textId="5D81D79B" w:rsidR="11BFD123" w:rsidRDefault="11BFD123" w:rsidP="2A6A326C">
      <w:pPr>
        <w:rPr>
          <w:rFonts w:ascii="Aptos" w:eastAsia="Aptos" w:hAnsi="Aptos" w:cs="Aptos"/>
          <w:b/>
          <w:bCs/>
          <w:i/>
          <w:iCs/>
        </w:rPr>
      </w:pPr>
      <w:r w:rsidRPr="2A6A326C">
        <w:rPr>
          <w:rFonts w:ascii="Aptos" w:eastAsia="Aptos" w:hAnsi="Aptos" w:cs="Aptos"/>
          <w:b/>
          <w:bCs/>
          <w:i/>
          <w:iCs/>
        </w:rPr>
        <w:t>Supervisor Tip: Encourage senior apprentices or employees to take an interest in mentoring. A simple ‘How’s your week going?’ can make a big difference to an apprentice’s sense of belonging</w:t>
      </w:r>
    </w:p>
    <w:p w14:paraId="2E81E490" w14:textId="77777777" w:rsidR="00DE45E2" w:rsidRDefault="00DC7DB8" w:rsidP="6EBBA060">
      <w:pPr>
        <w:pStyle w:val="Heading2"/>
        <w:rPr>
          <w:rFonts w:ascii="Aptos" w:eastAsia="Aptos" w:hAnsi="Aptos" w:cs="Aptos"/>
          <w:color w:val="auto"/>
          <w:sz w:val="24"/>
          <w:szCs w:val="24"/>
        </w:rPr>
      </w:pPr>
      <w:r w:rsidRPr="6EBBA060">
        <w:rPr>
          <w:rFonts w:ascii="Aptos" w:eastAsia="Aptos" w:hAnsi="Aptos" w:cs="Aptos"/>
          <w:color w:val="auto"/>
          <w:sz w:val="24"/>
          <w:szCs w:val="24"/>
        </w:rPr>
        <w:t>Practical Workplace Adjustments</w:t>
      </w:r>
    </w:p>
    <w:p w14:paraId="482A2B13" w14:textId="77777777" w:rsidR="00DE45E2" w:rsidRDefault="00DC7DB8" w:rsidP="69D7B9BA">
      <w:pPr>
        <w:rPr>
          <w:rFonts w:ascii="Aptos" w:eastAsia="Aptos" w:hAnsi="Aptos" w:cs="Aptos"/>
          <w:sz w:val="24"/>
          <w:szCs w:val="24"/>
        </w:rPr>
      </w:pPr>
      <w:r w:rsidRPr="6EBBA060">
        <w:rPr>
          <w:rFonts w:ascii="Aptos" w:eastAsia="Aptos" w:hAnsi="Aptos" w:cs="Aptos"/>
          <w:sz w:val="24"/>
          <w:szCs w:val="24"/>
        </w:rPr>
        <w:t>Small, respectful adjustments can make a big difference in creating a culturally safe and inclusive environment.</w:t>
      </w:r>
    </w:p>
    <w:p w14:paraId="40361302" w14:textId="2B22DE75" w:rsidR="00DE45E2" w:rsidRDefault="00DC7DB8" w:rsidP="2A6A326C">
      <w:pPr>
        <w:pStyle w:val="ListParagraph"/>
        <w:numPr>
          <w:ilvl w:val="0"/>
          <w:numId w:val="1"/>
        </w:numPr>
        <w:rPr>
          <w:rFonts w:ascii="Aptos" w:eastAsia="Aptos" w:hAnsi="Aptos" w:cs="Aptos"/>
          <w:sz w:val="24"/>
          <w:szCs w:val="24"/>
        </w:rPr>
      </w:pPr>
      <w:r w:rsidRPr="2A6A326C">
        <w:rPr>
          <w:rFonts w:ascii="Aptos" w:eastAsia="Aptos" w:hAnsi="Aptos" w:cs="Aptos"/>
          <w:sz w:val="24"/>
          <w:szCs w:val="24"/>
        </w:rPr>
        <w:t>Provide uniforms or PPE that meet cultural comfort (for example, modest clothing options).</w:t>
      </w:r>
    </w:p>
    <w:p w14:paraId="57F912B2" w14:textId="6520084E" w:rsidR="00DE45E2" w:rsidRDefault="00DC7DB8" w:rsidP="2A6A326C">
      <w:pPr>
        <w:pStyle w:val="ListParagraph"/>
        <w:numPr>
          <w:ilvl w:val="0"/>
          <w:numId w:val="1"/>
        </w:numPr>
        <w:rPr>
          <w:rFonts w:ascii="Aptos" w:eastAsia="Aptos" w:hAnsi="Aptos" w:cs="Aptos"/>
          <w:sz w:val="24"/>
          <w:szCs w:val="24"/>
        </w:rPr>
      </w:pPr>
      <w:r w:rsidRPr="2A6A326C">
        <w:rPr>
          <w:rFonts w:ascii="Aptos" w:eastAsia="Aptos" w:hAnsi="Aptos" w:cs="Aptos"/>
          <w:sz w:val="24"/>
          <w:szCs w:val="24"/>
        </w:rPr>
        <w:t>Offer quiet spaces if reflection, prayer, or phone calls to Elders are needed.</w:t>
      </w:r>
    </w:p>
    <w:p w14:paraId="14C34BAD" w14:textId="15F17FBC" w:rsidR="00DE45E2" w:rsidRDefault="00DC7DB8" w:rsidP="2A6A326C">
      <w:pPr>
        <w:pStyle w:val="ListParagraph"/>
        <w:numPr>
          <w:ilvl w:val="0"/>
          <w:numId w:val="1"/>
        </w:numPr>
        <w:rPr>
          <w:rFonts w:ascii="Aptos" w:eastAsia="Aptos" w:hAnsi="Aptos" w:cs="Aptos"/>
          <w:sz w:val="24"/>
          <w:szCs w:val="24"/>
        </w:rPr>
      </w:pPr>
      <w:r w:rsidRPr="2A6A326C">
        <w:rPr>
          <w:rFonts w:ascii="Aptos" w:eastAsia="Aptos" w:hAnsi="Aptos" w:cs="Aptos"/>
          <w:sz w:val="24"/>
          <w:szCs w:val="24"/>
        </w:rPr>
        <w:t xml:space="preserve">Ensure culturally appropriate communication </w:t>
      </w:r>
      <w:r w:rsidR="00757F8F" w:rsidRPr="2A6A326C">
        <w:rPr>
          <w:rFonts w:ascii="Aptos" w:eastAsia="Aptos" w:hAnsi="Aptos" w:cs="Aptos"/>
          <w:sz w:val="24"/>
          <w:szCs w:val="24"/>
        </w:rPr>
        <w:t>-</w:t>
      </w:r>
      <w:r w:rsidRPr="2A6A326C">
        <w:rPr>
          <w:rFonts w:ascii="Aptos" w:eastAsia="Aptos" w:hAnsi="Aptos" w:cs="Aptos"/>
          <w:sz w:val="24"/>
          <w:szCs w:val="24"/>
        </w:rPr>
        <w:t xml:space="preserve"> avoid sarcasm or raised voices, as these may be misunderstood.</w:t>
      </w:r>
    </w:p>
    <w:p w14:paraId="5E46BAB2" w14:textId="452B94D3" w:rsidR="69D7B9BA" w:rsidRDefault="69D7B9BA" w:rsidP="69D7B9BA">
      <w:pPr>
        <w:rPr>
          <w:rFonts w:ascii="Aptos" w:eastAsia="Aptos" w:hAnsi="Aptos" w:cs="Aptos"/>
          <w:sz w:val="24"/>
          <w:szCs w:val="24"/>
        </w:rPr>
      </w:pPr>
    </w:p>
    <w:p w14:paraId="274F03CD" w14:textId="46102D63" w:rsidR="00E53CCE" w:rsidRDefault="47F4A47B" w:rsidP="2A6A326C">
      <w:pPr>
        <w:pStyle w:val="Heading2"/>
        <w:rPr>
          <w:rFonts w:ascii="Aptos" w:eastAsia="Aptos" w:hAnsi="Aptos" w:cs="Aptos"/>
          <w:color w:val="000000" w:themeColor="text1"/>
          <w:sz w:val="24"/>
          <w:szCs w:val="24"/>
        </w:rPr>
      </w:pPr>
      <w:r w:rsidRPr="2A6A326C">
        <w:rPr>
          <w:rFonts w:ascii="Aptos" w:eastAsia="Aptos" w:hAnsi="Aptos" w:cs="Aptos"/>
          <w:color w:val="000000" w:themeColor="text1"/>
          <w:sz w:val="24"/>
          <w:szCs w:val="24"/>
        </w:rPr>
        <w:t>Accessing External Support</w:t>
      </w:r>
    </w:p>
    <w:p w14:paraId="36213945" w14:textId="4EC92F37" w:rsidR="00E53CCE" w:rsidRDefault="00E53CCE" w:rsidP="2A6A326C"/>
    <w:p w14:paraId="142350C5" w14:textId="77777777" w:rsidR="00E53CCE" w:rsidRPr="00E53CCE" w:rsidRDefault="00E53CCE" w:rsidP="69D7B9BA">
      <w:pPr>
        <w:rPr>
          <w:rFonts w:ascii="Aptos" w:eastAsia="Aptos" w:hAnsi="Aptos" w:cs="Aptos"/>
          <w:b/>
          <w:bCs/>
          <w:sz w:val="24"/>
          <w:szCs w:val="24"/>
          <w:lang w:val="en-AU"/>
        </w:rPr>
      </w:pPr>
      <w:r w:rsidRPr="6EBBA060">
        <w:rPr>
          <w:rFonts w:ascii="Aptos" w:eastAsia="Aptos" w:hAnsi="Aptos" w:cs="Aptos"/>
          <w:b/>
          <w:bCs/>
          <w:sz w:val="24"/>
          <w:szCs w:val="24"/>
          <w:lang w:val="en-AU"/>
        </w:rPr>
        <w:t>Employer's Quick Guide to Indigenous Apprentice Support (Australia)</w:t>
      </w:r>
    </w:p>
    <w:tbl>
      <w:tblPr>
        <w:tblStyle w:val="TableGrid"/>
        <w:tblW w:w="8630" w:type="dxa"/>
        <w:tblLook w:val="04A0" w:firstRow="1" w:lastRow="0" w:firstColumn="1" w:lastColumn="0" w:noHBand="0" w:noVBand="1"/>
      </w:tblPr>
      <w:tblGrid>
        <w:gridCol w:w="2310"/>
        <w:gridCol w:w="3776"/>
        <w:gridCol w:w="2544"/>
      </w:tblGrid>
      <w:tr w:rsidR="00D121C4" w:rsidRPr="00E53CCE" w14:paraId="08E71D5D" w14:textId="77777777" w:rsidTr="6EBBA060">
        <w:tc>
          <w:tcPr>
            <w:tcW w:w="2310" w:type="dxa"/>
            <w:hideMark/>
          </w:tcPr>
          <w:p w14:paraId="29DE5662"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Resource/Program</w:t>
            </w:r>
          </w:p>
        </w:tc>
        <w:tc>
          <w:tcPr>
            <w:tcW w:w="3776" w:type="dxa"/>
            <w:hideMark/>
          </w:tcPr>
          <w:p w14:paraId="51A4A5A6"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What it Provides for the Employer/Apprentice</w:t>
            </w:r>
          </w:p>
        </w:tc>
        <w:tc>
          <w:tcPr>
            <w:tcW w:w="2544" w:type="dxa"/>
            <w:hideMark/>
          </w:tcPr>
          <w:p w14:paraId="3473A60D"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How to Access and Contact</w:t>
            </w:r>
          </w:p>
        </w:tc>
      </w:tr>
      <w:tr w:rsidR="00D121C4" w:rsidRPr="00E53CCE" w14:paraId="6893B3AB" w14:textId="77777777" w:rsidTr="6EBBA060">
        <w:tc>
          <w:tcPr>
            <w:tcW w:w="2310" w:type="dxa"/>
            <w:hideMark/>
          </w:tcPr>
          <w:p w14:paraId="255E2D89" w14:textId="44970A82"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Apprentice Connect Australia Provider (ACAP)</w:t>
            </w:r>
          </w:p>
        </w:tc>
        <w:tc>
          <w:tcPr>
            <w:tcW w:w="3776" w:type="dxa"/>
            <w:hideMark/>
          </w:tcPr>
          <w:p w14:paraId="2905B5D1" w14:textId="36180422"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ACAP</w:t>
            </w:r>
            <w:r w:rsidR="71ACBA4A" w:rsidRPr="6EBBA060">
              <w:rPr>
                <w:rFonts w:ascii="Aptos" w:eastAsia="Aptos" w:hAnsi="Aptos" w:cs="Aptos"/>
                <w:sz w:val="24"/>
                <w:szCs w:val="24"/>
                <w:lang w:val="en-AU"/>
              </w:rPr>
              <w:t>S</w:t>
            </w:r>
            <w:r w:rsidRPr="6EBBA060">
              <w:rPr>
                <w:rFonts w:ascii="Aptos" w:eastAsia="Aptos" w:hAnsi="Aptos" w:cs="Aptos"/>
                <w:sz w:val="24"/>
                <w:szCs w:val="24"/>
                <w:lang w:val="en-AU"/>
              </w:rPr>
              <w:t xml:space="preserve"> provide personalised, culturally sensitive mentoring, one-on-one check-ins, and peer networking for the apprentice. They also provide guidance on creating a culturally safe and </w:t>
            </w:r>
            <w:r w:rsidRPr="6EBBA060">
              <w:rPr>
                <w:rFonts w:ascii="Aptos" w:eastAsia="Aptos" w:hAnsi="Aptos" w:cs="Aptos"/>
                <w:sz w:val="24"/>
                <w:szCs w:val="24"/>
                <w:lang w:val="en-AU"/>
              </w:rPr>
              <w:lastRenderedPageBreak/>
              <w:t>inclusive workplace, help with retention, and accessing financial incentives.</w:t>
            </w:r>
          </w:p>
        </w:tc>
        <w:tc>
          <w:tcPr>
            <w:tcW w:w="2544" w:type="dxa"/>
            <w:hideMark/>
          </w:tcPr>
          <w:p w14:paraId="37EE2EAE" w14:textId="53E6F826" w:rsidR="00D121C4"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lastRenderedPageBreak/>
              <w:t>Start with your local ACAP in your region.</w:t>
            </w:r>
          </w:p>
          <w:p w14:paraId="219B2418" w14:textId="09519E1F" w:rsidR="00D121C4" w:rsidRPr="00D121C4" w:rsidRDefault="00D121C4" w:rsidP="69D7B9BA">
            <w:pPr>
              <w:spacing w:after="200" w:line="276" w:lineRule="auto"/>
              <w:rPr>
                <w:rFonts w:ascii="Aptos" w:eastAsia="Aptos" w:hAnsi="Aptos" w:cs="Aptos"/>
                <w:b/>
                <w:bCs/>
                <w:sz w:val="24"/>
                <w:szCs w:val="24"/>
                <w:u w:val="single"/>
                <w:lang w:val="en-AU"/>
              </w:rPr>
            </w:pPr>
            <w:r w:rsidRPr="6EBBA060">
              <w:rPr>
                <w:rFonts w:ascii="Aptos" w:eastAsia="Aptos" w:hAnsi="Aptos" w:cs="Aptos"/>
                <w:b/>
                <w:bCs/>
                <w:sz w:val="24"/>
                <w:szCs w:val="24"/>
                <w:u w:val="single"/>
                <w:lang w:val="en-AU"/>
              </w:rPr>
              <w:t>Refer to resources tab to contacts page</w:t>
            </w:r>
          </w:p>
          <w:p w14:paraId="5B1CCC9F" w14:textId="2BAEFC94" w:rsidR="00D121C4" w:rsidRPr="00E53CCE" w:rsidRDefault="00D121C4" w:rsidP="69D7B9BA">
            <w:pPr>
              <w:spacing w:after="200" w:line="276" w:lineRule="auto"/>
              <w:rPr>
                <w:rFonts w:ascii="Aptos" w:eastAsia="Aptos" w:hAnsi="Aptos" w:cs="Aptos"/>
                <w:sz w:val="24"/>
                <w:szCs w:val="24"/>
                <w:lang w:val="en-AU"/>
              </w:rPr>
            </w:pPr>
          </w:p>
        </w:tc>
      </w:tr>
      <w:tr w:rsidR="00D121C4" w:rsidRPr="00E53CCE" w14:paraId="3D1B4D79" w14:textId="77777777" w:rsidTr="6EBBA060">
        <w:tc>
          <w:tcPr>
            <w:tcW w:w="2310" w:type="dxa"/>
            <w:hideMark/>
          </w:tcPr>
          <w:p w14:paraId="05609472"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ABSTUDY</w:t>
            </w:r>
          </w:p>
        </w:tc>
        <w:tc>
          <w:tcPr>
            <w:tcW w:w="3776" w:type="dxa"/>
            <w:hideMark/>
          </w:tcPr>
          <w:p w14:paraId="652B8D6A" w14:textId="75B377A3"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 xml:space="preserve">A government allowance to help the apprentice with living expenses, study, and housing costs while undertaking their training. </w:t>
            </w:r>
            <w:r w:rsidRPr="6EBBA060">
              <w:rPr>
                <w:rFonts w:ascii="Aptos" w:eastAsia="Aptos" w:hAnsi="Aptos" w:cs="Aptos"/>
                <w:i/>
                <w:iCs/>
                <w:sz w:val="24"/>
                <w:szCs w:val="24"/>
                <w:lang w:val="en-AU"/>
              </w:rPr>
              <w:t>This is claimed by the apprentice, but you should encourage them to apply.</w:t>
            </w:r>
          </w:p>
        </w:tc>
        <w:tc>
          <w:tcPr>
            <w:tcW w:w="2544" w:type="dxa"/>
            <w:hideMark/>
          </w:tcPr>
          <w:p w14:paraId="52DCF798"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Direct Apprentice Application to Services Australia: Advise your apprentice to contact the ABSTUDY line via Services Australia or apply through their myGov account. Where to Go: Services Australia website or myGov</w:t>
            </w:r>
          </w:p>
        </w:tc>
      </w:tr>
      <w:tr w:rsidR="00D121C4" w:rsidRPr="00E53CCE" w14:paraId="03A136A7" w14:textId="77777777" w:rsidTr="6EBBA060">
        <w:tc>
          <w:tcPr>
            <w:tcW w:w="2310" w:type="dxa"/>
            <w:hideMark/>
          </w:tcPr>
          <w:p w14:paraId="5B77F46C"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Indigenous Skills and Employment Program (ISEP)</w:t>
            </w:r>
          </w:p>
        </w:tc>
        <w:tc>
          <w:tcPr>
            <w:tcW w:w="3776" w:type="dxa"/>
            <w:hideMark/>
          </w:tcPr>
          <w:p w14:paraId="23E8BF6F" w14:textId="361058F0"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Provides a wide range of job readiness, training, and career advancement activities to connect First Nations people with local jobs, including apprenticeships. This is a place-based program, so support varies by region.</w:t>
            </w:r>
          </w:p>
        </w:tc>
        <w:tc>
          <w:tcPr>
            <w:tcW w:w="2544" w:type="dxa"/>
            <w:hideMark/>
          </w:tcPr>
          <w:p w14:paraId="3304C3E4" w14:textId="3E95D15F"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 xml:space="preserve">Website: </w:t>
            </w:r>
            <w:hyperlink r:id="rId11">
              <w:r w:rsidRPr="6EBBA060">
                <w:rPr>
                  <w:rStyle w:val="Hyperlink"/>
                  <w:rFonts w:ascii="Aptos" w:eastAsia="Aptos" w:hAnsi="Aptos" w:cs="Aptos"/>
                  <w:sz w:val="24"/>
                  <w:szCs w:val="24"/>
                  <w:lang w:val="en-AU"/>
                </w:rPr>
                <w:t>NIAA Indigenous Skills and Employment Program web page</w:t>
              </w:r>
            </w:hyperlink>
          </w:p>
        </w:tc>
      </w:tr>
      <w:tr w:rsidR="00D121C4" w:rsidRPr="00E53CCE" w14:paraId="1EEA91D8" w14:textId="77777777" w:rsidTr="6EBBA060">
        <w:tc>
          <w:tcPr>
            <w:tcW w:w="2310" w:type="dxa"/>
            <w:hideMark/>
          </w:tcPr>
          <w:p w14:paraId="5ABA5D9D" w14:textId="77777777"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b/>
                <w:bCs/>
                <w:sz w:val="24"/>
                <w:szCs w:val="24"/>
                <w:lang w:val="en-AU"/>
              </w:rPr>
              <w:t>Australian Apprenticeships Incentive System</w:t>
            </w:r>
          </w:p>
        </w:tc>
        <w:tc>
          <w:tcPr>
            <w:tcW w:w="3776" w:type="dxa"/>
            <w:hideMark/>
          </w:tcPr>
          <w:p w14:paraId="3AA62BAC" w14:textId="2C48584C"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 xml:space="preserve">Provides financial support (wage subsidies/hiring incentives) to businesses that employ an apprentice in a Priority Occupation. </w:t>
            </w:r>
          </w:p>
        </w:tc>
        <w:tc>
          <w:tcPr>
            <w:tcW w:w="2544" w:type="dxa"/>
            <w:hideMark/>
          </w:tcPr>
          <w:p w14:paraId="13E644F2" w14:textId="4A751B00" w:rsidR="00D121C4" w:rsidRPr="00E53CCE" w:rsidRDefault="00D121C4" w:rsidP="69D7B9BA">
            <w:pPr>
              <w:spacing w:after="200" w:line="276" w:lineRule="auto"/>
              <w:rPr>
                <w:rFonts w:ascii="Aptos" w:eastAsia="Aptos" w:hAnsi="Aptos" w:cs="Aptos"/>
                <w:sz w:val="24"/>
                <w:szCs w:val="24"/>
                <w:lang w:val="en-AU"/>
              </w:rPr>
            </w:pPr>
            <w:r w:rsidRPr="6EBBA060">
              <w:rPr>
                <w:rFonts w:ascii="Aptos" w:eastAsia="Aptos" w:hAnsi="Aptos" w:cs="Aptos"/>
                <w:sz w:val="24"/>
                <w:szCs w:val="24"/>
                <w:lang w:val="en-AU"/>
              </w:rPr>
              <w:t xml:space="preserve">Contact your Apprentice Connect Australia Provider to confirm eligibility and submit claims for government incentives. </w:t>
            </w:r>
          </w:p>
        </w:tc>
      </w:tr>
    </w:tbl>
    <w:p w14:paraId="6E9C8CD8" w14:textId="77777777" w:rsidR="00E53CCE" w:rsidRDefault="00E53CCE" w:rsidP="6EBBA060">
      <w:pPr>
        <w:rPr>
          <w:rFonts w:ascii="Aptos" w:eastAsia="Aptos" w:hAnsi="Aptos" w:cs="Aptos"/>
          <w:sz w:val="24"/>
          <w:szCs w:val="24"/>
        </w:rPr>
      </w:pPr>
    </w:p>
    <w:p w14:paraId="13C52DB9" w14:textId="77777777" w:rsidR="00E53CCE" w:rsidRDefault="00E53CCE" w:rsidP="6EBBA060">
      <w:pPr>
        <w:rPr>
          <w:rFonts w:ascii="Aptos" w:eastAsia="Aptos" w:hAnsi="Aptos" w:cs="Aptos"/>
          <w:sz w:val="24"/>
          <w:szCs w:val="24"/>
        </w:rPr>
      </w:pPr>
    </w:p>
    <w:p w14:paraId="778957EC" w14:textId="77777777" w:rsidR="00DE45E2" w:rsidRDefault="00DC7DB8" w:rsidP="6EBBA060">
      <w:pPr>
        <w:pStyle w:val="Heading2"/>
        <w:rPr>
          <w:rFonts w:ascii="Aptos" w:eastAsia="Aptos" w:hAnsi="Aptos" w:cs="Aptos"/>
          <w:color w:val="auto"/>
          <w:sz w:val="24"/>
          <w:szCs w:val="24"/>
        </w:rPr>
      </w:pPr>
      <w:r w:rsidRPr="6EBBA060">
        <w:rPr>
          <w:rFonts w:ascii="Aptos" w:eastAsia="Aptos" w:hAnsi="Aptos" w:cs="Aptos"/>
          <w:color w:val="auto"/>
          <w:sz w:val="24"/>
          <w:szCs w:val="24"/>
        </w:rPr>
        <w:t>Key Message</w:t>
      </w:r>
    </w:p>
    <w:p w14:paraId="53C8DB6C" w14:textId="7CB449AE" w:rsidR="00DC7DB8" w:rsidRDefault="00DC7DB8" w:rsidP="2A6A326C">
      <w:pPr>
        <w:rPr>
          <w:rFonts w:ascii="Aptos" w:eastAsia="Aptos" w:hAnsi="Aptos" w:cs="Aptos"/>
          <w:sz w:val="24"/>
          <w:szCs w:val="24"/>
        </w:rPr>
      </w:pPr>
      <w:r w:rsidRPr="2A6A326C">
        <w:rPr>
          <w:rFonts w:ascii="Aptos" w:eastAsia="Aptos" w:hAnsi="Aptos" w:cs="Aptos"/>
          <w:sz w:val="24"/>
          <w:szCs w:val="24"/>
        </w:rPr>
        <w:t xml:space="preserve">Supporting Indigenous apprentices goes beyond meeting training requirements </w:t>
      </w:r>
      <w:r w:rsidR="358029EE" w:rsidRPr="2A6A326C">
        <w:rPr>
          <w:rFonts w:ascii="Aptos" w:eastAsia="Aptos" w:hAnsi="Aptos" w:cs="Aptos"/>
          <w:sz w:val="24"/>
          <w:szCs w:val="24"/>
        </w:rPr>
        <w:t>-</w:t>
      </w:r>
      <w:r w:rsidRPr="2A6A326C">
        <w:rPr>
          <w:rFonts w:ascii="Aptos" w:eastAsia="Aptos" w:hAnsi="Aptos" w:cs="Aptos"/>
          <w:sz w:val="24"/>
          <w:szCs w:val="24"/>
        </w:rPr>
        <w:t xml:space="preserve"> it’s about building respect, trust, and opportunity. By creating culturally safe, inclusive workplaces and linking with Indigenous mentors and support services, employers can help apprentices build confidence, pride, and long-term careers in the </w:t>
      </w:r>
      <w:r w:rsidR="78DF48C5" w:rsidRPr="2A6A326C">
        <w:rPr>
          <w:rFonts w:ascii="Aptos" w:eastAsia="Aptos" w:hAnsi="Aptos" w:cs="Aptos"/>
          <w:sz w:val="24"/>
          <w:szCs w:val="24"/>
        </w:rPr>
        <w:t>trade.</w:t>
      </w:r>
    </w:p>
    <w:sectPr w:rsidR="00DC7DB8" w:rsidSect="00034616">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48952" w14:textId="77777777" w:rsidR="00FB122D" w:rsidRDefault="00FB122D" w:rsidP="00FB122D">
      <w:pPr>
        <w:spacing w:after="0" w:line="240" w:lineRule="auto"/>
      </w:pPr>
      <w:r>
        <w:separator/>
      </w:r>
    </w:p>
  </w:endnote>
  <w:endnote w:type="continuationSeparator" w:id="0">
    <w:p w14:paraId="2E7428A6" w14:textId="77777777" w:rsidR="00FB122D" w:rsidRDefault="00FB122D" w:rsidP="00FB1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8D6C3" w14:textId="77777777" w:rsidR="00FB122D" w:rsidRDefault="00FB12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721F1" w14:textId="77777777" w:rsidR="00FB122D" w:rsidRDefault="00FB12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2686A" w14:textId="77777777" w:rsidR="00FB122D" w:rsidRDefault="00FB12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61885" w14:textId="77777777" w:rsidR="00FB122D" w:rsidRDefault="00FB122D" w:rsidP="00FB122D">
      <w:pPr>
        <w:spacing w:after="0" w:line="240" w:lineRule="auto"/>
      </w:pPr>
      <w:r>
        <w:separator/>
      </w:r>
    </w:p>
  </w:footnote>
  <w:footnote w:type="continuationSeparator" w:id="0">
    <w:p w14:paraId="261E1C5D" w14:textId="77777777" w:rsidR="00FB122D" w:rsidRDefault="00FB122D" w:rsidP="00FB12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A663" w14:textId="77777777" w:rsidR="00FB122D" w:rsidRDefault="00FB12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4938101"/>
      <w:docPartObj>
        <w:docPartGallery w:val="Watermarks"/>
        <w:docPartUnique/>
      </w:docPartObj>
    </w:sdtPr>
    <w:sdtEndPr/>
    <w:sdtContent>
      <w:p w14:paraId="65A2073B" w14:textId="4837B40F" w:rsidR="00FB122D" w:rsidRDefault="00C11D27">
        <w:pPr>
          <w:pStyle w:val="Header"/>
        </w:pPr>
        <w:r>
          <w:rPr>
            <w:noProof/>
          </w:rPr>
          <w:pict w14:anchorId="1B2CD1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69A85" w14:textId="77777777" w:rsidR="00FB122D" w:rsidRDefault="00FB122D">
    <w:pPr>
      <w:pStyle w:val="Header"/>
    </w:pPr>
  </w:p>
</w:hdr>
</file>

<file path=word/intelligence2.xml><?xml version="1.0" encoding="utf-8"?>
<int2:intelligence xmlns:int2="http://schemas.microsoft.com/office/intelligence/2020/intelligence" xmlns:oel="http://schemas.microsoft.com/office/2019/extlst">
  <int2:observations>
    <int2:textHash int2:hashCode="nRSox3TdiEm2GZ" int2:id="BNy1Pwrm">
      <int2:state int2:value="Rejected" int2:type="spell"/>
    </int2:textHash>
    <int2:bookmark int2:bookmarkName="_Int_JU9QWOML" int2:invalidationBookmarkName="" int2:hashCode="hEmiLnWhIfHcio" int2:id="wMTvXee1">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2BB087F"/>
    <w:multiLevelType w:val="hybridMultilevel"/>
    <w:tmpl w:val="846ED7C8"/>
    <w:lvl w:ilvl="0" w:tplc="B72E0C1E">
      <w:start w:val="1"/>
      <w:numFmt w:val="bullet"/>
      <w:lvlText w:val=""/>
      <w:lvlJc w:val="left"/>
      <w:pPr>
        <w:ind w:left="720" w:hanging="360"/>
      </w:pPr>
      <w:rPr>
        <w:rFonts w:ascii="Symbol" w:hAnsi="Symbol" w:hint="default"/>
      </w:rPr>
    </w:lvl>
    <w:lvl w:ilvl="1" w:tplc="3090598A">
      <w:start w:val="1"/>
      <w:numFmt w:val="bullet"/>
      <w:lvlText w:val="o"/>
      <w:lvlJc w:val="left"/>
      <w:pPr>
        <w:ind w:left="1440" w:hanging="360"/>
      </w:pPr>
      <w:rPr>
        <w:rFonts w:ascii="Courier New" w:hAnsi="Courier New" w:hint="default"/>
      </w:rPr>
    </w:lvl>
    <w:lvl w:ilvl="2" w:tplc="740A20AA">
      <w:start w:val="1"/>
      <w:numFmt w:val="bullet"/>
      <w:lvlText w:val=""/>
      <w:lvlJc w:val="left"/>
      <w:pPr>
        <w:ind w:left="2160" w:hanging="360"/>
      </w:pPr>
      <w:rPr>
        <w:rFonts w:ascii="Wingdings" w:hAnsi="Wingdings" w:hint="default"/>
      </w:rPr>
    </w:lvl>
    <w:lvl w:ilvl="3" w:tplc="A25C353C">
      <w:start w:val="1"/>
      <w:numFmt w:val="bullet"/>
      <w:lvlText w:val=""/>
      <w:lvlJc w:val="left"/>
      <w:pPr>
        <w:ind w:left="2880" w:hanging="360"/>
      </w:pPr>
      <w:rPr>
        <w:rFonts w:ascii="Symbol" w:hAnsi="Symbol" w:hint="default"/>
      </w:rPr>
    </w:lvl>
    <w:lvl w:ilvl="4" w:tplc="94AC08A0">
      <w:start w:val="1"/>
      <w:numFmt w:val="bullet"/>
      <w:lvlText w:val="o"/>
      <w:lvlJc w:val="left"/>
      <w:pPr>
        <w:ind w:left="3600" w:hanging="360"/>
      </w:pPr>
      <w:rPr>
        <w:rFonts w:ascii="Courier New" w:hAnsi="Courier New" w:hint="default"/>
      </w:rPr>
    </w:lvl>
    <w:lvl w:ilvl="5" w:tplc="3E269C76">
      <w:start w:val="1"/>
      <w:numFmt w:val="bullet"/>
      <w:lvlText w:val=""/>
      <w:lvlJc w:val="left"/>
      <w:pPr>
        <w:ind w:left="4320" w:hanging="360"/>
      </w:pPr>
      <w:rPr>
        <w:rFonts w:ascii="Wingdings" w:hAnsi="Wingdings" w:hint="default"/>
      </w:rPr>
    </w:lvl>
    <w:lvl w:ilvl="6" w:tplc="00EA8B44">
      <w:start w:val="1"/>
      <w:numFmt w:val="bullet"/>
      <w:lvlText w:val=""/>
      <w:lvlJc w:val="left"/>
      <w:pPr>
        <w:ind w:left="5040" w:hanging="360"/>
      </w:pPr>
      <w:rPr>
        <w:rFonts w:ascii="Symbol" w:hAnsi="Symbol" w:hint="default"/>
      </w:rPr>
    </w:lvl>
    <w:lvl w:ilvl="7" w:tplc="2C3658BE">
      <w:start w:val="1"/>
      <w:numFmt w:val="bullet"/>
      <w:lvlText w:val="o"/>
      <w:lvlJc w:val="left"/>
      <w:pPr>
        <w:ind w:left="5760" w:hanging="360"/>
      </w:pPr>
      <w:rPr>
        <w:rFonts w:ascii="Courier New" w:hAnsi="Courier New" w:hint="default"/>
      </w:rPr>
    </w:lvl>
    <w:lvl w:ilvl="8" w:tplc="F5BE06D6">
      <w:start w:val="1"/>
      <w:numFmt w:val="bullet"/>
      <w:lvlText w:val=""/>
      <w:lvlJc w:val="left"/>
      <w:pPr>
        <w:ind w:left="6480" w:hanging="360"/>
      </w:pPr>
      <w:rPr>
        <w:rFonts w:ascii="Wingdings" w:hAnsi="Wingdings" w:hint="default"/>
      </w:rPr>
    </w:lvl>
  </w:abstractNum>
  <w:abstractNum w:abstractNumId="10" w15:restartNumberingAfterBreak="0">
    <w:nsid w:val="222A898B"/>
    <w:multiLevelType w:val="hybridMultilevel"/>
    <w:tmpl w:val="BA40ADF4"/>
    <w:lvl w:ilvl="0" w:tplc="13B2FAE6">
      <w:start w:val="1"/>
      <w:numFmt w:val="bullet"/>
      <w:lvlText w:val=""/>
      <w:lvlJc w:val="left"/>
      <w:pPr>
        <w:ind w:left="720" w:hanging="360"/>
      </w:pPr>
      <w:rPr>
        <w:rFonts w:ascii="Symbol" w:hAnsi="Symbol" w:hint="default"/>
      </w:rPr>
    </w:lvl>
    <w:lvl w:ilvl="1" w:tplc="E23CACB0">
      <w:start w:val="1"/>
      <w:numFmt w:val="bullet"/>
      <w:lvlText w:val="o"/>
      <w:lvlJc w:val="left"/>
      <w:pPr>
        <w:ind w:left="1440" w:hanging="360"/>
      </w:pPr>
      <w:rPr>
        <w:rFonts w:ascii="Courier New" w:hAnsi="Courier New" w:hint="default"/>
      </w:rPr>
    </w:lvl>
    <w:lvl w:ilvl="2" w:tplc="8E76A628">
      <w:start w:val="1"/>
      <w:numFmt w:val="bullet"/>
      <w:lvlText w:val=""/>
      <w:lvlJc w:val="left"/>
      <w:pPr>
        <w:ind w:left="2160" w:hanging="360"/>
      </w:pPr>
      <w:rPr>
        <w:rFonts w:ascii="Wingdings" w:hAnsi="Wingdings" w:hint="default"/>
      </w:rPr>
    </w:lvl>
    <w:lvl w:ilvl="3" w:tplc="DDE8C09C">
      <w:start w:val="1"/>
      <w:numFmt w:val="bullet"/>
      <w:lvlText w:val=""/>
      <w:lvlJc w:val="left"/>
      <w:pPr>
        <w:ind w:left="2880" w:hanging="360"/>
      </w:pPr>
      <w:rPr>
        <w:rFonts w:ascii="Symbol" w:hAnsi="Symbol" w:hint="default"/>
      </w:rPr>
    </w:lvl>
    <w:lvl w:ilvl="4" w:tplc="C944C6A0">
      <w:start w:val="1"/>
      <w:numFmt w:val="bullet"/>
      <w:lvlText w:val="o"/>
      <w:lvlJc w:val="left"/>
      <w:pPr>
        <w:ind w:left="3600" w:hanging="360"/>
      </w:pPr>
      <w:rPr>
        <w:rFonts w:ascii="Courier New" w:hAnsi="Courier New" w:hint="default"/>
      </w:rPr>
    </w:lvl>
    <w:lvl w:ilvl="5" w:tplc="7342115E">
      <w:start w:val="1"/>
      <w:numFmt w:val="bullet"/>
      <w:lvlText w:val=""/>
      <w:lvlJc w:val="left"/>
      <w:pPr>
        <w:ind w:left="4320" w:hanging="360"/>
      </w:pPr>
      <w:rPr>
        <w:rFonts w:ascii="Wingdings" w:hAnsi="Wingdings" w:hint="default"/>
      </w:rPr>
    </w:lvl>
    <w:lvl w:ilvl="6" w:tplc="A2F287A0">
      <w:start w:val="1"/>
      <w:numFmt w:val="bullet"/>
      <w:lvlText w:val=""/>
      <w:lvlJc w:val="left"/>
      <w:pPr>
        <w:ind w:left="5040" w:hanging="360"/>
      </w:pPr>
      <w:rPr>
        <w:rFonts w:ascii="Symbol" w:hAnsi="Symbol" w:hint="default"/>
      </w:rPr>
    </w:lvl>
    <w:lvl w:ilvl="7" w:tplc="A0161888">
      <w:start w:val="1"/>
      <w:numFmt w:val="bullet"/>
      <w:lvlText w:val="o"/>
      <w:lvlJc w:val="left"/>
      <w:pPr>
        <w:ind w:left="5760" w:hanging="360"/>
      </w:pPr>
      <w:rPr>
        <w:rFonts w:ascii="Courier New" w:hAnsi="Courier New" w:hint="default"/>
      </w:rPr>
    </w:lvl>
    <w:lvl w:ilvl="8" w:tplc="7D7469FA">
      <w:start w:val="1"/>
      <w:numFmt w:val="bullet"/>
      <w:lvlText w:val=""/>
      <w:lvlJc w:val="left"/>
      <w:pPr>
        <w:ind w:left="6480" w:hanging="360"/>
      </w:pPr>
      <w:rPr>
        <w:rFonts w:ascii="Wingdings" w:hAnsi="Wingdings" w:hint="default"/>
      </w:rPr>
    </w:lvl>
  </w:abstractNum>
  <w:abstractNum w:abstractNumId="11" w15:restartNumberingAfterBreak="0">
    <w:nsid w:val="2B8E7F80"/>
    <w:multiLevelType w:val="hybridMultilevel"/>
    <w:tmpl w:val="73146536"/>
    <w:lvl w:ilvl="0" w:tplc="5A68A976">
      <w:start w:val="1"/>
      <w:numFmt w:val="bullet"/>
      <w:lvlText w:val=""/>
      <w:lvlJc w:val="left"/>
      <w:pPr>
        <w:ind w:left="720" w:hanging="360"/>
      </w:pPr>
      <w:rPr>
        <w:rFonts w:ascii="Symbol" w:hAnsi="Symbol" w:hint="default"/>
      </w:rPr>
    </w:lvl>
    <w:lvl w:ilvl="1" w:tplc="B1A47AB2">
      <w:start w:val="1"/>
      <w:numFmt w:val="bullet"/>
      <w:lvlText w:val="o"/>
      <w:lvlJc w:val="left"/>
      <w:pPr>
        <w:ind w:left="1440" w:hanging="360"/>
      </w:pPr>
      <w:rPr>
        <w:rFonts w:ascii="Courier New" w:hAnsi="Courier New" w:hint="default"/>
      </w:rPr>
    </w:lvl>
    <w:lvl w:ilvl="2" w:tplc="8D600F8A">
      <w:start w:val="1"/>
      <w:numFmt w:val="bullet"/>
      <w:lvlText w:val=""/>
      <w:lvlJc w:val="left"/>
      <w:pPr>
        <w:ind w:left="2160" w:hanging="360"/>
      </w:pPr>
      <w:rPr>
        <w:rFonts w:ascii="Wingdings" w:hAnsi="Wingdings" w:hint="default"/>
      </w:rPr>
    </w:lvl>
    <w:lvl w:ilvl="3" w:tplc="7CC05876">
      <w:start w:val="1"/>
      <w:numFmt w:val="bullet"/>
      <w:lvlText w:val=""/>
      <w:lvlJc w:val="left"/>
      <w:pPr>
        <w:ind w:left="2880" w:hanging="360"/>
      </w:pPr>
      <w:rPr>
        <w:rFonts w:ascii="Symbol" w:hAnsi="Symbol" w:hint="default"/>
      </w:rPr>
    </w:lvl>
    <w:lvl w:ilvl="4" w:tplc="1BE0A9E2">
      <w:start w:val="1"/>
      <w:numFmt w:val="bullet"/>
      <w:lvlText w:val="o"/>
      <w:lvlJc w:val="left"/>
      <w:pPr>
        <w:ind w:left="3600" w:hanging="360"/>
      </w:pPr>
      <w:rPr>
        <w:rFonts w:ascii="Courier New" w:hAnsi="Courier New" w:hint="default"/>
      </w:rPr>
    </w:lvl>
    <w:lvl w:ilvl="5" w:tplc="E95ABECA">
      <w:start w:val="1"/>
      <w:numFmt w:val="bullet"/>
      <w:lvlText w:val=""/>
      <w:lvlJc w:val="left"/>
      <w:pPr>
        <w:ind w:left="4320" w:hanging="360"/>
      </w:pPr>
      <w:rPr>
        <w:rFonts w:ascii="Wingdings" w:hAnsi="Wingdings" w:hint="default"/>
      </w:rPr>
    </w:lvl>
    <w:lvl w:ilvl="6" w:tplc="EB969A0A">
      <w:start w:val="1"/>
      <w:numFmt w:val="bullet"/>
      <w:lvlText w:val=""/>
      <w:lvlJc w:val="left"/>
      <w:pPr>
        <w:ind w:left="5040" w:hanging="360"/>
      </w:pPr>
      <w:rPr>
        <w:rFonts w:ascii="Symbol" w:hAnsi="Symbol" w:hint="default"/>
      </w:rPr>
    </w:lvl>
    <w:lvl w:ilvl="7" w:tplc="0818C6C2">
      <w:start w:val="1"/>
      <w:numFmt w:val="bullet"/>
      <w:lvlText w:val="o"/>
      <w:lvlJc w:val="left"/>
      <w:pPr>
        <w:ind w:left="5760" w:hanging="360"/>
      </w:pPr>
      <w:rPr>
        <w:rFonts w:ascii="Courier New" w:hAnsi="Courier New" w:hint="default"/>
      </w:rPr>
    </w:lvl>
    <w:lvl w:ilvl="8" w:tplc="761A3542">
      <w:start w:val="1"/>
      <w:numFmt w:val="bullet"/>
      <w:lvlText w:val=""/>
      <w:lvlJc w:val="left"/>
      <w:pPr>
        <w:ind w:left="6480" w:hanging="360"/>
      </w:pPr>
      <w:rPr>
        <w:rFonts w:ascii="Wingdings" w:hAnsi="Wingdings" w:hint="default"/>
      </w:rPr>
    </w:lvl>
  </w:abstractNum>
  <w:abstractNum w:abstractNumId="12" w15:restartNumberingAfterBreak="0">
    <w:nsid w:val="4CCFA04F"/>
    <w:multiLevelType w:val="hybridMultilevel"/>
    <w:tmpl w:val="128CE8BC"/>
    <w:lvl w:ilvl="0" w:tplc="391690F4">
      <w:start w:val="1"/>
      <w:numFmt w:val="bullet"/>
      <w:lvlText w:val=""/>
      <w:lvlJc w:val="left"/>
      <w:pPr>
        <w:ind w:left="720" w:hanging="360"/>
      </w:pPr>
      <w:rPr>
        <w:rFonts w:ascii="Symbol" w:hAnsi="Symbol" w:hint="default"/>
      </w:rPr>
    </w:lvl>
    <w:lvl w:ilvl="1" w:tplc="8AD44B66">
      <w:start w:val="1"/>
      <w:numFmt w:val="bullet"/>
      <w:lvlText w:val="o"/>
      <w:lvlJc w:val="left"/>
      <w:pPr>
        <w:ind w:left="1440" w:hanging="360"/>
      </w:pPr>
      <w:rPr>
        <w:rFonts w:ascii="Courier New" w:hAnsi="Courier New" w:hint="default"/>
      </w:rPr>
    </w:lvl>
    <w:lvl w:ilvl="2" w:tplc="EEA84A54">
      <w:start w:val="1"/>
      <w:numFmt w:val="bullet"/>
      <w:lvlText w:val=""/>
      <w:lvlJc w:val="left"/>
      <w:pPr>
        <w:ind w:left="2160" w:hanging="360"/>
      </w:pPr>
      <w:rPr>
        <w:rFonts w:ascii="Wingdings" w:hAnsi="Wingdings" w:hint="default"/>
      </w:rPr>
    </w:lvl>
    <w:lvl w:ilvl="3" w:tplc="D21881D4">
      <w:start w:val="1"/>
      <w:numFmt w:val="bullet"/>
      <w:lvlText w:val=""/>
      <w:lvlJc w:val="left"/>
      <w:pPr>
        <w:ind w:left="2880" w:hanging="360"/>
      </w:pPr>
      <w:rPr>
        <w:rFonts w:ascii="Symbol" w:hAnsi="Symbol" w:hint="default"/>
      </w:rPr>
    </w:lvl>
    <w:lvl w:ilvl="4" w:tplc="4BA431CC">
      <w:start w:val="1"/>
      <w:numFmt w:val="bullet"/>
      <w:lvlText w:val="o"/>
      <w:lvlJc w:val="left"/>
      <w:pPr>
        <w:ind w:left="3600" w:hanging="360"/>
      </w:pPr>
      <w:rPr>
        <w:rFonts w:ascii="Courier New" w:hAnsi="Courier New" w:hint="default"/>
      </w:rPr>
    </w:lvl>
    <w:lvl w:ilvl="5" w:tplc="ED0EBC72">
      <w:start w:val="1"/>
      <w:numFmt w:val="bullet"/>
      <w:lvlText w:val=""/>
      <w:lvlJc w:val="left"/>
      <w:pPr>
        <w:ind w:left="4320" w:hanging="360"/>
      </w:pPr>
      <w:rPr>
        <w:rFonts w:ascii="Wingdings" w:hAnsi="Wingdings" w:hint="default"/>
      </w:rPr>
    </w:lvl>
    <w:lvl w:ilvl="6" w:tplc="EDE60E70">
      <w:start w:val="1"/>
      <w:numFmt w:val="bullet"/>
      <w:lvlText w:val=""/>
      <w:lvlJc w:val="left"/>
      <w:pPr>
        <w:ind w:left="5040" w:hanging="360"/>
      </w:pPr>
      <w:rPr>
        <w:rFonts w:ascii="Symbol" w:hAnsi="Symbol" w:hint="default"/>
      </w:rPr>
    </w:lvl>
    <w:lvl w:ilvl="7" w:tplc="48067572">
      <w:start w:val="1"/>
      <w:numFmt w:val="bullet"/>
      <w:lvlText w:val="o"/>
      <w:lvlJc w:val="left"/>
      <w:pPr>
        <w:ind w:left="5760" w:hanging="360"/>
      </w:pPr>
      <w:rPr>
        <w:rFonts w:ascii="Courier New" w:hAnsi="Courier New" w:hint="default"/>
      </w:rPr>
    </w:lvl>
    <w:lvl w:ilvl="8" w:tplc="13D40444">
      <w:start w:val="1"/>
      <w:numFmt w:val="bullet"/>
      <w:lvlText w:val=""/>
      <w:lvlJc w:val="left"/>
      <w:pPr>
        <w:ind w:left="6480" w:hanging="360"/>
      </w:pPr>
      <w:rPr>
        <w:rFonts w:ascii="Wingdings" w:hAnsi="Wingdings" w:hint="default"/>
      </w:rPr>
    </w:lvl>
  </w:abstractNum>
  <w:num w:numId="1" w16cid:durableId="1141579945">
    <w:abstractNumId w:val="9"/>
  </w:num>
  <w:num w:numId="2" w16cid:durableId="1439060999">
    <w:abstractNumId w:val="12"/>
  </w:num>
  <w:num w:numId="3" w16cid:durableId="721439643">
    <w:abstractNumId w:val="11"/>
  </w:num>
  <w:num w:numId="4" w16cid:durableId="1386175607">
    <w:abstractNumId w:val="10"/>
  </w:num>
  <w:num w:numId="5" w16cid:durableId="2054117432">
    <w:abstractNumId w:val="8"/>
  </w:num>
  <w:num w:numId="6" w16cid:durableId="293214246">
    <w:abstractNumId w:val="6"/>
  </w:num>
  <w:num w:numId="7" w16cid:durableId="1191803530">
    <w:abstractNumId w:val="5"/>
  </w:num>
  <w:num w:numId="8" w16cid:durableId="1624924509">
    <w:abstractNumId w:val="4"/>
  </w:num>
  <w:num w:numId="9" w16cid:durableId="1823738121">
    <w:abstractNumId w:val="7"/>
  </w:num>
  <w:num w:numId="10" w16cid:durableId="1938707691">
    <w:abstractNumId w:val="3"/>
  </w:num>
  <w:num w:numId="11" w16cid:durableId="1341279142">
    <w:abstractNumId w:val="2"/>
  </w:num>
  <w:num w:numId="12" w16cid:durableId="731847549">
    <w:abstractNumId w:val="1"/>
  </w:num>
  <w:num w:numId="13" w16cid:durableId="122383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1D89"/>
    <w:rsid w:val="0015074B"/>
    <w:rsid w:val="0029639D"/>
    <w:rsid w:val="00326F90"/>
    <w:rsid w:val="003D3173"/>
    <w:rsid w:val="003E00F1"/>
    <w:rsid w:val="00455A37"/>
    <w:rsid w:val="004C55C7"/>
    <w:rsid w:val="00516B56"/>
    <w:rsid w:val="005E3E78"/>
    <w:rsid w:val="0060441F"/>
    <w:rsid w:val="006A5B25"/>
    <w:rsid w:val="00757F8F"/>
    <w:rsid w:val="00941B14"/>
    <w:rsid w:val="00981C8B"/>
    <w:rsid w:val="009F57B2"/>
    <w:rsid w:val="00A15907"/>
    <w:rsid w:val="00AA1D8D"/>
    <w:rsid w:val="00AE3DCB"/>
    <w:rsid w:val="00B47730"/>
    <w:rsid w:val="00C11D27"/>
    <w:rsid w:val="00CB0664"/>
    <w:rsid w:val="00D121C4"/>
    <w:rsid w:val="00D144FF"/>
    <w:rsid w:val="00DB146A"/>
    <w:rsid w:val="00DC7DB8"/>
    <w:rsid w:val="00DE45E2"/>
    <w:rsid w:val="00E07409"/>
    <w:rsid w:val="00E53CCE"/>
    <w:rsid w:val="00F12297"/>
    <w:rsid w:val="00FB122D"/>
    <w:rsid w:val="00FC693F"/>
    <w:rsid w:val="01571626"/>
    <w:rsid w:val="090E0C5D"/>
    <w:rsid w:val="11BFD123"/>
    <w:rsid w:val="14E37226"/>
    <w:rsid w:val="14E443D2"/>
    <w:rsid w:val="18570F2F"/>
    <w:rsid w:val="25A9261D"/>
    <w:rsid w:val="25D7ADA2"/>
    <w:rsid w:val="29E36208"/>
    <w:rsid w:val="2A6A326C"/>
    <w:rsid w:val="2D66CADD"/>
    <w:rsid w:val="2ECFF2FD"/>
    <w:rsid w:val="2F042823"/>
    <w:rsid w:val="2F35114F"/>
    <w:rsid w:val="358029EE"/>
    <w:rsid w:val="38BF42DE"/>
    <w:rsid w:val="4429C295"/>
    <w:rsid w:val="45AC0370"/>
    <w:rsid w:val="47F4A47B"/>
    <w:rsid w:val="4AC9ECE5"/>
    <w:rsid w:val="4CDF1E80"/>
    <w:rsid w:val="5EEBE59B"/>
    <w:rsid w:val="61A45C8B"/>
    <w:rsid w:val="623C9DC3"/>
    <w:rsid w:val="6892AFCD"/>
    <w:rsid w:val="6980385C"/>
    <w:rsid w:val="69D7B9BA"/>
    <w:rsid w:val="6EBBA060"/>
    <w:rsid w:val="71ACBA4A"/>
    <w:rsid w:val="7573D834"/>
    <w:rsid w:val="75B414ED"/>
    <w:rsid w:val="78DF48C5"/>
    <w:rsid w:val="794AE313"/>
    <w:rsid w:val="7B844BCB"/>
    <w:rsid w:val="7EAE9E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2B7160A"/>
  <w14:defaultImageDpi w14:val="300"/>
  <w15:docId w15:val="{6D950449-5EDB-4072-87FA-0850D8E9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5"/>
      </w:numPr>
      <w:contextualSpacing/>
    </w:pPr>
  </w:style>
  <w:style w:type="paragraph" w:styleId="ListBullet2">
    <w:name w:val="List Bullet 2"/>
    <w:basedOn w:val="Normal"/>
    <w:uiPriority w:val="99"/>
    <w:unhideWhenUsed/>
    <w:rsid w:val="00326F90"/>
    <w:pPr>
      <w:numPr>
        <w:numId w:val="6"/>
      </w:numPr>
      <w:contextualSpacing/>
    </w:pPr>
  </w:style>
  <w:style w:type="paragraph" w:styleId="ListBullet3">
    <w:name w:val="List Bullet 3"/>
    <w:basedOn w:val="Normal"/>
    <w:uiPriority w:val="99"/>
    <w:unhideWhenUsed/>
    <w:rsid w:val="00326F90"/>
    <w:pPr>
      <w:numPr>
        <w:numId w:val="7"/>
      </w:numPr>
      <w:contextualSpacing/>
    </w:pPr>
  </w:style>
  <w:style w:type="paragraph" w:styleId="ListNumber">
    <w:name w:val="List Number"/>
    <w:basedOn w:val="Normal"/>
    <w:uiPriority w:val="99"/>
    <w:unhideWhenUsed/>
    <w:rsid w:val="00326F90"/>
    <w:pPr>
      <w:numPr>
        <w:numId w:val="9"/>
      </w:numPr>
      <w:contextualSpacing/>
    </w:pPr>
  </w:style>
  <w:style w:type="paragraph" w:styleId="ListNumber2">
    <w:name w:val="List Number 2"/>
    <w:basedOn w:val="Normal"/>
    <w:uiPriority w:val="99"/>
    <w:unhideWhenUsed/>
    <w:rsid w:val="0029639D"/>
    <w:pPr>
      <w:numPr>
        <w:numId w:val="10"/>
      </w:numPr>
      <w:contextualSpacing/>
    </w:pPr>
  </w:style>
  <w:style w:type="paragraph" w:styleId="ListNumber3">
    <w:name w:val="List Number 3"/>
    <w:basedOn w:val="Normal"/>
    <w:uiPriority w:val="99"/>
    <w:unhideWhenUsed/>
    <w:rsid w:val="0029639D"/>
    <w:pPr>
      <w:numPr>
        <w:numId w:val="11"/>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4C55C7"/>
    <w:rPr>
      <w:sz w:val="16"/>
      <w:szCs w:val="16"/>
    </w:rPr>
  </w:style>
  <w:style w:type="paragraph" w:styleId="CommentText">
    <w:name w:val="annotation text"/>
    <w:basedOn w:val="Normal"/>
    <w:link w:val="CommentTextChar"/>
    <w:uiPriority w:val="99"/>
    <w:unhideWhenUsed/>
    <w:rsid w:val="004C55C7"/>
    <w:pPr>
      <w:spacing w:line="240" w:lineRule="auto"/>
    </w:pPr>
    <w:rPr>
      <w:sz w:val="20"/>
      <w:szCs w:val="20"/>
    </w:rPr>
  </w:style>
  <w:style w:type="character" w:customStyle="1" w:styleId="CommentTextChar">
    <w:name w:val="Comment Text Char"/>
    <w:basedOn w:val="DefaultParagraphFont"/>
    <w:link w:val="CommentText"/>
    <w:uiPriority w:val="99"/>
    <w:rsid w:val="004C55C7"/>
    <w:rPr>
      <w:sz w:val="20"/>
      <w:szCs w:val="20"/>
    </w:rPr>
  </w:style>
  <w:style w:type="paragraph" w:styleId="CommentSubject">
    <w:name w:val="annotation subject"/>
    <w:basedOn w:val="CommentText"/>
    <w:next w:val="CommentText"/>
    <w:link w:val="CommentSubjectChar"/>
    <w:uiPriority w:val="99"/>
    <w:semiHidden/>
    <w:unhideWhenUsed/>
    <w:rsid w:val="004C55C7"/>
    <w:rPr>
      <w:b/>
      <w:bCs/>
    </w:rPr>
  </w:style>
  <w:style w:type="character" w:customStyle="1" w:styleId="CommentSubjectChar">
    <w:name w:val="Comment Subject Char"/>
    <w:basedOn w:val="CommentTextChar"/>
    <w:link w:val="CommentSubject"/>
    <w:uiPriority w:val="99"/>
    <w:semiHidden/>
    <w:rsid w:val="004C55C7"/>
    <w:rPr>
      <w:b/>
      <w:bCs/>
      <w:sz w:val="20"/>
      <w:szCs w:val="20"/>
    </w:rPr>
  </w:style>
  <w:style w:type="character" w:styleId="Hyperlink">
    <w:name w:val="Hyperlink"/>
    <w:basedOn w:val="DefaultParagraphFont"/>
    <w:uiPriority w:val="99"/>
    <w:unhideWhenUsed/>
    <w:rsid w:val="006A5B25"/>
    <w:rPr>
      <w:color w:val="0000FF" w:themeColor="hyperlink"/>
      <w:u w:val="single"/>
    </w:rPr>
  </w:style>
  <w:style w:type="character" w:styleId="UnresolvedMention">
    <w:name w:val="Unresolved Mention"/>
    <w:basedOn w:val="DefaultParagraphFont"/>
    <w:uiPriority w:val="99"/>
    <w:semiHidden/>
    <w:unhideWhenUsed/>
    <w:rsid w:val="006A5B25"/>
    <w:rPr>
      <w:color w:val="605E5C"/>
      <w:shd w:val="clear" w:color="auto" w:fill="E1DFDD"/>
    </w:rPr>
  </w:style>
  <w:style w:type="character" w:styleId="Mention">
    <w:name w:val="Mention"/>
    <w:basedOn w:val="DefaultParagraphFont"/>
    <w:uiPriority w:val="99"/>
    <w:unhideWhenUsed/>
    <w:rsid w:val="006A5B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aa.gov.au/our-work/employment-and-economic-development/indigenous-skills-and-employment-program-isep"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EE1D9A-1D60-4FC4-A4E0-EDA89BE67A2E}"/>
</file>

<file path=customXml/itemProps2.xml><?xml version="1.0" encoding="utf-8"?>
<ds:datastoreItem xmlns:ds="http://schemas.openxmlformats.org/officeDocument/2006/customXml" ds:itemID="{AFB50F4D-E948-4918-B6D8-287A91CBAA40}">
  <ds:schemaRefs>
    <ds:schemaRef ds:uri="102dc1fd-8f52-48da-b764-5a9278f0784a"/>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schemas.microsoft.com/office/2006/metadata/properties"/>
    <ds:schemaRef ds:uri="50b7c410-dce9-463b-81f8-73e20a9d115d"/>
    <ds:schemaRef ds:uri="b7c30f79-f8eb-4508-8095-4c6bdcbc98c6"/>
    <ds:schemaRef ds:uri="http://www.w3.org/XML/1998/namespace"/>
    <ds:schemaRef ds:uri="http://schemas.microsoft.com/sharepoint/v3"/>
  </ds:schemaRefs>
</ds:datastoreItem>
</file>

<file path=customXml/itemProps3.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4.xml><?xml version="1.0" encoding="utf-8"?>
<ds:datastoreItem xmlns:ds="http://schemas.openxmlformats.org/officeDocument/2006/customXml" ds:itemID="{3CD34102-323F-4454-847C-2D0EAE4A6EAC}">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744</Words>
  <Characters>4197</Characters>
  <Application>Microsoft Office Word</Application>
  <DocSecurity>0</DocSecurity>
  <Lines>91</Lines>
  <Paragraphs>47</Paragraphs>
  <ScaleCrop>false</ScaleCrop>
  <Manager/>
  <Company/>
  <LinksUpToDate>false</LinksUpToDate>
  <CharactersWithSpaces>4894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Kristy Cole</cp:lastModifiedBy>
  <cp:revision>19</cp:revision>
  <dcterms:created xsi:type="dcterms:W3CDTF">2025-10-21T23:25:00Z</dcterms:created>
  <dcterms:modified xsi:type="dcterms:W3CDTF">2025-11-07T01:13:00Z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